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284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16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находящегося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предусмотренном ч. 4 ст. 12.15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Данила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05.08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12:27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</w:t>
      </w:r>
      <w:r>
        <w:rPr>
          <w:rStyle w:val="cat-UserDefinedgrp-34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Д.А.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управля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транспортным средством </w:t>
      </w:r>
      <w:r>
        <w:rPr>
          <w:rStyle w:val="cat-CarMakeModelgrp-22rplc-18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3rplc-20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совершил обгон впереди </w:t>
      </w:r>
      <w:r>
        <w:rPr>
          <w:rFonts w:ascii="Times New Roman" w:eastAsia="Times New Roman" w:hAnsi="Times New Roman" w:cs="Times New Roman"/>
          <w:sz w:val="27"/>
          <w:szCs w:val="27"/>
        </w:rPr>
        <w:t>движущегося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транспортного средства в зоне действия дорожного знака 3.20 ПДД РФ путем выезда на полосу дороги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предназначенную для движения встречных транспортн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средств и не выполнил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 горизонтальной дорожной разметки 1.1 ПДД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чем нарушил п. 1.3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9.1.1 </w:t>
      </w:r>
      <w:r>
        <w:rPr>
          <w:rFonts w:ascii="Times New Roman" w:eastAsia="Times New Roman" w:hAnsi="Times New Roman" w:cs="Times New Roman"/>
          <w:sz w:val="27"/>
          <w:szCs w:val="27"/>
        </w:rPr>
        <w:t>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Данное обстоятельство послужило основанием для составления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731827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4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разбирательства, не присутствовал,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письменном заявлении просил рассмотреть дело в его отсутствие, указав, что вину признает, с нарушением согласен.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Д.А.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ст. 12.15 КоАП РФ,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731827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05.08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схемой места совершения административного правонарушения от </w:t>
      </w:r>
      <w:r>
        <w:rPr>
          <w:rFonts w:ascii="Times New Roman" w:eastAsia="Times New Roman" w:hAnsi="Times New Roman" w:cs="Times New Roman"/>
          <w:sz w:val="27"/>
          <w:szCs w:val="27"/>
        </w:rPr>
        <w:t>05.08.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рапортом инспектора ДПС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взвода № 2 роты 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ДПС </w:t>
      </w:r>
      <w:r>
        <w:rPr>
          <w:rFonts w:ascii="Times New Roman" w:eastAsia="Times New Roman" w:hAnsi="Times New Roman" w:cs="Times New Roman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ИБДД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УМВД России </w:t>
      </w:r>
      <w:r>
        <w:rPr>
          <w:rStyle w:val="cat-UserDefinedgrp-35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05.08.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ями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водительского удостоверения и свидетельства о регистрации транспортного средства;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карточкой операций с ВУ;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дислокацией дорожных знаков и разметки;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проекта организации дорожного движения автомобильной дорог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общего пользования федерального значения </w:t>
      </w:r>
      <w:r>
        <w:rPr>
          <w:rStyle w:val="cat-UserDefinedgrp-36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реестром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правонарушений; </w:t>
      </w:r>
      <w:r>
        <w:rPr>
          <w:rFonts w:ascii="Times New Roman" w:eastAsia="Times New Roman" w:hAnsi="Times New Roman" w:cs="Times New Roman"/>
          <w:sz w:val="27"/>
          <w:szCs w:val="27"/>
        </w:rPr>
        <w:t>фиксацией правонарушения на СД-диске.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дорожного движения на полосу, предназначенную для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ст.12.15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Запрещающий знак 3.20 «Обгон запрещен» обозначает начало участка дороги, на протяжении которого запрещается обгон всех транспортных средств.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пунктом 5.4.21 ГОСТ Р 52289-2004 знак 3.20 устанавливается на участках дорог с необеспеченной видимостью движения встречного автомобиля, зона действия знака в этом случае определяется протяженностью опасного участка.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</w:t>
      </w:r>
      <w:r>
        <w:rPr>
          <w:rFonts w:ascii="Times New Roman" w:eastAsia="Times New Roman" w:hAnsi="Times New Roman" w:cs="Times New Roman"/>
          <w:sz w:val="27"/>
          <w:szCs w:val="27"/>
        </w:rPr>
        <w:t>. 9.1(1</w:t>
      </w:r>
      <w:r>
        <w:rPr>
          <w:rFonts w:ascii="Times New Roman" w:eastAsia="Times New Roman" w:hAnsi="Times New Roman" w:cs="Times New Roman"/>
          <w:sz w:val="27"/>
          <w:szCs w:val="27"/>
        </w:rPr>
        <w:t>) ПДД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правовой позиции Конституционного Суда Российской Федерации, изложенной им в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18</w:t>
      </w:r>
      <w:r>
        <w:rPr>
          <w:rFonts w:ascii="Times New Roman" w:eastAsia="Times New Roman" w:hAnsi="Times New Roman" w:cs="Times New Roman"/>
          <w:sz w:val="27"/>
          <w:szCs w:val="27"/>
        </w:rPr>
        <w:t>.01.</w:t>
      </w:r>
      <w:r>
        <w:rPr>
          <w:rFonts w:ascii="Times New Roman" w:eastAsia="Times New Roman" w:hAnsi="Times New Roman" w:cs="Times New Roman"/>
          <w:sz w:val="27"/>
          <w:szCs w:val="27"/>
        </w:rPr>
        <w:t>2011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6-О-О (а также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.12.</w:t>
      </w:r>
      <w:r>
        <w:rPr>
          <w:rFonts w:ascii="Times New Roman" w:eastAsia="Times New Roman" w:hAnsi="Times New Roman" w:cs="Times New Roman"/>
          <w:sz w:val="27"/>
          <w:szCs w:val="27"/>
        </w:rPr>
        <w:t>2010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1570-О-О),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4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12.15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 взаимосвязи с его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</w:t>
      </w:r>
      <w:r>
        <w:rPr>
          <w:rFonts w:ascii="Times New Roman" w:eastAsia="Times New Roman" w:hAnsi="Times New Roman" w:cs="Times New Roman"/>
          <w:sz w:val="27"/>
          <w:szCs w:val="27"/>
        </w:rPr>
        <w:t>в ходе судебного разбирательства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Д.А.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установлена, а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правильно квалифицированными по ч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12.15 КоАП РФ – как выезд в нарушение Правил дорожного движения на сторону дороги, предназначенную для встречного движения.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является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вины.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им </w:t>
      </w:r>
      <w:r>
        <w:rPr>
          <w:rFonts w:ascii="Times New Roman" w:eastAsia="Times New Roman" w:hAnsi="Times New Roman" w:cs="Times New Roman"/>
          <w:sz w:val="27"/>
          <w:szCs w:val="27"/>
        </w:rPr>
        <w:t>однородного административного правонарушения в течении 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отношение последнего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содеянному,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 полагает возможным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Малюканову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>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Малюканова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Данила Алексеевича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правонарушения, предусмотренного ч. 4 ст. 12.15 КоАП РФ и подвергнуть наказанию в виде административного штрафа в размере </w:t>
      </w:r>
      <w:r>
        <w:rPr>
          <w:rStyle w:val="cat-Sumgrp-17rplc-3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ИНН 8601010390,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ОКТМО 718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номер счета получателя платежа </w:t>
      </w:r>
      <w:r>
        <w:rPr>
          <w:rFonts w:ascii="Times New Roman" w:eastAsia="Times New Roman" w:hAnsi="Times New Roman" w:cs="Times New Roman"/>
          <w:sz w:val="27"/>
          <w:szCs w:val="27"/>
        </w:rPr>
        <w:t>03100643000000018700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ОКЦ № 8 УГУ Банка России//УФК по Ханты-Мансийскому автономному округу-Югре г. Ханты-Мансийск,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/счет № 40102810245370000007, </w:t>
      </w:r>
      <w:r>
        <w:rPr>
          <w:rFonts w:ascii="Times New Roman" w:eastAsia="Times New Roman" w:hAnsi="Times New Roman" w:cs="Times New Roman"/>
          <w:sz w:val="27"/>
          <w:szCs w:val="27"/>
        </w:rPr>
        <w:t>КБК 1881160</w:t>
      </w:r>
      <w:r>
        <w:rPr>
          <w:rFonts w:ascii="Times New Roman" w:eastAsia="Times New Roman" w:hAnsi="Times New Roman" w:cs="Times New Roman"/>
          <w:sz w:val="27"/>
          <w:szCs w:val="27"/>
        </w:rPr>
        <w:t>1123010001140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18810486260910005891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22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1.1, 1.3 -1.3-3 и 1.4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либо со дня истечения срока отсрочки или срока рассрочки,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уплате административного штрафа не позднее тридцати дней со дня вынесения данного постановления,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Неуплата административного штрафа в установленный законом срок влечет административную ответственность по ч. 1 ст. 20.25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105.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headerReference w:type="default" r:id="rId11"/>
      <w:footerReference w:type="default" r:id="rId12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993385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6">
    <w:name w:val="cat-UserDefined grp-34 rplc-16"/>
    <w:basedOn w:val="DefaultParagraphFont"/>
  </w:style>
  <w:style w:type="character" w:customStyle="1" w:styleId="cat-CarMakeModelgrp-22rplc-18">
    <w:name w:val="cat-CarMakeModel grp-22 rplc-18"/>
    <w:basedOn w:val="DefaultParagraphFont"/>
  </w:style>
  <w:style w:type="character" w:customStyle="1" w:styleId="cat-CarNumbergrp-23rplc-20">
    <w:name w:val="cat-CarNumber grp-23 rplc-20"/>
    <w:basedOn w:val="DefaultParagraphFont"/>
  </w:style>
  <w:style w:type="character" w:customStyle="1" w:styleId="cat-UserDefinedgrp-35rplc-27">
    <w:name w:val="cat-UserDefined grp-35 rplc-27"/>
    <w:basedOn w:val="DefaultParagraphFont"/>
  </w:style>
  <w:style w:type="character" w:customStyle="1" w:styleId="cat-UserDefinedgrp-36rplc-29">
    <w:name w:val="cat-UserDefined grp-36 rplc-29"/>
    <w:basedOn w:val="DefaultParagraphFont"/>
  </w:style>
  <w:style w:type="character" w:customStyle="1" w:styleId="cat-Sumgrp-17rplc-38">
    <w:name w:val="cat-Sum grp-17 rplc-3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sud.garant.ru/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glossaryDocument" Target="glossary/document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hyperlink" Target="consultantplus://offline/ref=B7A1769E56CBD9E6CA28B3203F467A6C1D227F27A2C9A1216CF4432A4AF2W5O" TargetMode="External" /><Relationship Id="rId6" Type="http://schemas.openxmlformats.org/officeDocument/2006/relationships/hyperlink" Target="consultantplus://offline/ref=B7A1769E56CBD9E6CA28B3203F467A6C1D23762AAFCFA1216CF4432A4AF2W5O" TargetMode="External" /><Relationship Id="rId7" Type="http://schemas.openxmlformats.org/officeDocument/2006/relationships/hyperlink" Target="consultantplus://offline/ref=B7A1769E56CBD9E6CA28B3203F467A6C1D247E21ABCAA1216CF4432A4A25FA9B5F3F63F4B487F0W6O" TargetMode="External" /><Relationship Id="rId8" Type="http://schemas.openxmlformats.org/officeDocument/2006/relationships/hyperlink" Target="consultantplus://offline/ref=B7A1769E56CBD9E6CA28B3203F467A6C1D247E21ABCAA1216CF4432A4A25FA9B5F3F63F7B68203CAF3W9O" TargetMode="External" /><Relationship Id="rId9" Type="http://schemas.openxmlformats.org/officeDocument/2006/relationships/hyperlink" Target="consultantplus://offline/ref=B7A1769E56CBD9E6CA28B3203F467A6C1D247E21ABCAA1216CF4432A4A25FA9B5F3F63F7B68203CAF3WDO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8C031-2552-499C-AA45-86DB208DAE0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